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6D34" w14:textId="77777777" w:rsidR="00BD1BA7" w:rsidRDefault="00BD1BA7" w:rsidP="00BD1BA7">
      <w:pPr>
        <w:pageBreakBefore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ANEXO I</w:t>
      </w:r>
    </w:p>
    <w:p w14:paraId="6D1B2E98" w14:textId="77777777" w:rsidR="00BD1BA7" w:rsidRDefault="00BD1BA7" w:rsidP="00BD1BA7">
      <w:pPr>
        <w:jc w:val="center"/>
        <w:rPr>
          <w:rFonts w:cs="Arial"/>
          <w:b/>
          <w:sz w:val="28"/>
          <w:szCs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7"/>
      </w:tblGrid>
      <w:tr w:rsidR="00BD1BA7" w14:paraId="6A132D72" w14:textId="77777777" w:rsidTr="00367909">
        <w:trPr>
          <w:trHeight w:val="360"/>
        </w:trPr>
        <w:tc>
          <w:tcPr>
            <w:tcW w:w="9127" w:type="dxa"/>
            <w:shd w:val="clear" w:color="auto" w:fill="FFFFFF"/>
            <w:vAlign w:val="bottom"/>
          </w:tcPr>
          <w:p w14:paraId="46D7663B" w14:textId="77777777" w:rsidR="00BD1BA7" w:rsidRDefault="00BD1BA7" w:rsidP="00367909">
            <w:pPr>
              <w:spacing w:line="36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</w:rPr>
              <w:t>Elecciones 2025</w:t>
            </w:r>
          </w:p>
          <w:p w14:paraId="5079C1F8" w14:textId="77777777" w:rsidR="00BD1BA7" w:rsidRDefault="00BD1BA7" w:rsidP="00367909">
            <w:pPr>
              <w:spacing w:line="36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</w:rPr>
              <w:t>OSEF - CPS</w:t>
            </w:r>
          </w:p>
        </w:tc>
      </w:tr>
      <w:tr w:rsidR="00BD1BA7" w14:paraId="5A0CEA21" w14:textId="77777777" w:rsidTr="00367909">
        <w:trPr>
          <w:trHeight w:val="1245"/>
        </w:trPr>
        <w:tc>
          <w:tcPr>
            <w:tcW w:w="9127" w:type="dxa"/>
            <w:shd w:val="clear" w:color="auto" w:fill="FFFFFF"/>
            <w:vAlign w:val="bottom"/>
          </w:tcPr>
          <w:p w14:paraId="7CC34CE5" w14:textId="77777777" w:rsidR="00BD1BA7" w:rsidRDefault="00BD1BA7" w:rsidP="00367909">
            <w:pPr>
              <w:spacing w:line="36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</w:rPr>
              <w:t>PROVINCIA DE TIERRA DEL FUEGO, ANTÁRTIDA E ISLAS DEL ATLÁNTICO SUR</w:t>
            </w:r>
          </w:p>
          <w:p w14:paraId="6B69EF44" w14:textId="77777777" w:rsidR="00BD1BA7" w:rsidRDefault="00BD1BA7" w:rsidP="00367909">
            <w:pPr>
              <w:spacing w:line="360" w:lineRule="auto"/>
              <w:jc w:val="center"/>
              <w:rPr>
                <w:vanish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u w:val="single"/>
              </w:rPr>
              <w:t>Cronograma Electoral.</w:t>
            </w:r>
          </w:p>
        </w:tc>
      </w:tr>
    </w:tbl>
    <w:p w14:paraId="3C7ED984" w14:textId="77777777" w:rsidR="00BD1BA7" w:rsidRDefault="00BD1BA7" w:rsidP="00BD1BA7">
      <w:pPr>
        <w:pStyle w:val="Normal1"/>
        <w:rPr>
          <w:vanish/>
        </w:rPr>
      </w:pPr>
    </w:p>
    <w:tbl>
      <w:tblPr>
        <w:tblW w:w="0" w:type="auto"/>
        <w:tblInd w:w="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5"/>
        <w:gridCol w:w="4140"/>
        <w:gridCol w:w="2085"/>
        <w:gridCol w:w="1635"/>
      </w:tblGrid>
      <w:tr w:rsidR="00BD1BA7" w14:paraId="5650F7AD" w14:textId="77777777" w:rsidTr="00367909"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B7B83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Fecha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E3345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Actividad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1C060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</w:rPr>
              <w:t>Plazo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2DE258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/>
              </w:rPr>
              <w:t>Normativa</w:t>
            </w:r>
          </w:p>
        </w:tc>
      </w:tr>
      <w:tr w:rsidR="00BD1BA7" w14:paraId="2F302FC0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3A7A0A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07/07/25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68DBCE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Cierre de novedades e ingreso de padrones de afiliados ante el Juzgado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51F38" w14:textId="77777777" w:rsidR="00BD1BA7" w:rsidRDefault="00BD1BA7" w:rsidP="00367909">
            <w:pPr>
              <w:pStyle w:val="Contenidodelatabla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 meses anteriores a la elección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4B4F5B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Art. 2 L.224</w:t>
            </w:r>
          </w:p>
        </w:tc>
      </w:tr>
      <w:tr w:rsidR="00BD1BA7" w14:paraId="53ACAF1F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49C7C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09/08/25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1422AD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Distribución padrón provisorio - Inicio del plazo para reclamos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33AB0" w14:textId="77777777" w:rsidR="00BD1BA7" w:rsidRDefault="00BD1BA7" w:rsidP="00367909">
            <w:pPr>
              <w:pStyle w:val="Contenidodelatabla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90 días anteriores a la elección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6F44BB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Arts. 19 y 20 L.201</w:t>
            </w:r>
          </w:p>
        </w:tc>
      </w:tr>
      <w:tr w:rsidR="00BD1BA7" w14:paraId="0107902A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71566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08/09/25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CBB6D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Vencimiento del plazo para presentación de listas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F287B" w14:textId="77777777" w:rsidR="00BD1BA7" w:rsidRDefault="00BD1BA7" w:rsidP="00367909">
            <w:pPr>
              <w:pStyle w:val="Contenidodelatabla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60 días anteriores a la elección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C0AF08" w14:textId="77777777" w:rsidR="00BD1BA7" w:rsidRDefault="00BD1BA7" w:rsidP="00367909">
            <w:pPr>
              <w:pStyle w:val="Contenidodelatabla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1BA7" w14:paraId="49AF3E8B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24EF6" w14:textId="77777777" w:rsidR="00BD1BA7" w:rsidRDefault="00BD1BA7" w:rsidP="00367909">
            <w:pPr>
              <w:pStyle w:val="Contenidodelatabla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08/09/25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0BF396" w14:textId="77777777" w:rsidR="00BD1BA7" w:rsidRDefault="00BD1BA7" w:rsidP="00367909">
            <w:pPr>
              <w:pStyle w:val="Contenidodelatabla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Constitución de Junta Electoral Provincial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8C73A8" w14:textId="77777777" w:rsidR="00BD1BA7" w:rsidRDefault="00BD1BA7" w:rsidP="00367909">
            <w:pPr>
              <w:pStyle w:val="Contenidodelatabla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60 días anteriores a la elección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3DD207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Art. 125 L.201</w:t>
            </w:r>
          </w:p>
        </w:tc>
      </w:tr>
      <w:tr w:rsidR="00BD1BA7" w14:paraId="7431FCEB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FF38D4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23/09/25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341127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Fin plazo reclamos sobre padrón provisorio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2F3D7" w14:textId="77777777" w:rsidR="00BD1BA7" w:rsidRDefault="00BD1BA7" w:rsidP="00367909">
            <w:pPr>
              <w:pStyle w:val="Contenidodelatabla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 días desde la distribución del padrón provisorio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D13D86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Art. 21 y 22 L.201</w:t>
            </w:r>
          </w:p>
        </w:tc>
      </w:tr>
      <w:tr w:rsidR="00BD1BA7" w14:paraId="17E4EF8D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0A8E6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23/09/25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1C5E30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Finaliza el plazo para registrar candidaturas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564116" w14:textId="77777777" w:rsidR="00BD1BA7" w:rsidRDefault="00BD1BA7" w:rsidP="00367909">
            <w:pPr>
              <w:pStyle w:val="Contenidodelatabla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 días anteriores a la elección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0BC72E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Art. 52 L.201</w:t>
            </w:r>
          </w:p>
        </w:tc>
      </w:tr>
      <w:tr w:rsidR="00BD1BA7" w14:paraId="57A2A801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C6C4C5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08/10/25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79D86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Emisión y distribución del Padrón Definitivo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E2DCFF" w14:textId="77777777" w:rsidR="00BD1BA7" w:rsidRDefault="00BD1BA7" w:rsidP="00367909">
            <w:pPr>
              <w:pStyle w:val="Contenidodelatabla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 días anteriores a la elección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4E8C4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Art. 23 L.201</w:t>
            </w:r>
          </w:p>
        </w:tc>
      </w:tr>
      <w:tr w:rsidR="00BD1BA7" w14:paraId="6C643EE8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4117F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08/10/25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EFF487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rStyle w:val="Fuentedeprrafopredeter1"/>
                <w:sz w:val="22"/>
                <w:szCs w:val="22"/>
              </w:rPr>
            </w:pPr>
            <w:r>
              <w:rPr>
                <w:sz w:val="21"/>
                <w:szCs w:val="21"/>
              </w:rPr>
              <w:t>Designación de los lugares y las mesas de votación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4AC26" w14:textId="77777777" w:rsidR="00BD1BA7" w:rsidRDefault="00BD1BA7" w:rsidP="00367909">
            <w:pPr>
              <w:pStyle w:val="Contenidodelatabla"/>
              <w:jc w:val="center"/>
              <w:rPr>
                <w:rStyle w:val="Fuentedeprrafopredeter1"/>
                <w:color w:val="000000"/>
                <w:sz w:val="22"/>
                <w:szCs w:val="22"/>
              </w:rPr>
            </w:pPr>
            <w:r>
              <w:rPr>
                <w:rStyle w:val="Fuentedeprrafopredeter1"/>
                <w:sz w:val="22"/>
                <w:szCs w:val="22"/>
              </w:rPr>
              <w:t>Art. 68 L.20130 días anteriores a la elección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CCDDC2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Style w:val="Fuentedeprrafopredeter1"/>
                <w:color w:val="000000"/>
                <w:sz w:val="22"/>
                <w:szCs w:val="22"/>
              </w:rPr>
              <w:t>Art. 68 L.20130 días anteriores a la elección</w:t>
            </w:r>
          </w:p>
        </w:tc>
      </w:tr>
      <w:tr w:rsidR="00BD1BA7" w14:paraId="44A6D780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E3C8C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08/10/25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5A0D9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Fin del plazo para presentar las imágenes y símbolos partidarios.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88470" w14:textId="77777777" w:rsidR="00BD1BA7" w:rsidRDefault="00BD1BA7" w:rsidP="00367909">
            <w:pPr>
              <w:pStyle w:val="Contenidodelatabla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 días anteriores a la elección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6DB434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Art. 55 L.201</w:t>
            </w:r>
          </w:p>
        </w:tc>
      </w:tr>
      <w:tr w:rsidR="00BD1BA7" w14:paraId="3210A898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A63492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18/10/25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BB489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Designación de autoridades de mesa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9AA09" w14:textId="77777777" w:rsidR="00BD1BA7" w:rsidRDefault="00BD1BA7" w:rsidP="00367909">
            <w:pPr>
              <w:pStyle w:val="Contenidodelatabla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 días anteriores a la elección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4CF2EF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Art. 69 L.201</w:t>
            </w:r>
          </w:p>
        </w:tc>
      </w:tr>
      <w:tr w:rsidR="00BD1BA7" w14:paraId="53AFF380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0AD07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23/10/25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ACF45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Publicación de nómina de autoridades de mesa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E48DC" w14:textId="77777777" w:rsidR="00BD1BA7" w:rsidRDefault="00BD1BA7" w:rsidP="00367909">
            <w:pPr>
              <w:pStyle w:val="Contenidodelatabla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 días anteriores a la elección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0DDBA3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Art. 73 L.201</w:t>
            </w:r>
          </w:p>
        </w:tc>
      </w:tr>
      <w:tr w:rsidR="00BD1BA7" w14:paraId="28D81E33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D55EF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28/10/25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682E6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Fin plazo para solicitar se subsanen errores de impresión del padrón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8798F" w14:textId="77777777" w:rsidR="00BD1BA7" w:rsidRDefault="00BD1BA7" w:rsidP="00367909">
            <w:pPr>
              <w:pStyle w:val="Contenidodelatabla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Hasta 20 días después de publicado el padrón definitivo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AC5224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Art. 25 L.201</w:t>
            </w:r>
          </w:p>
        </w:tc>
      </w:tr>
      <w:tr w:rsidR="00BD1BA7" w14:paraId="66B8BB3B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B4C65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05/11/25 -Desde 08:00 </w:t>
            </w:r>
            <w:proofErr w:type="spellStart"/>
            <w:r>
              <w:rPr>
                <w:b/>
                <w:bCs/>
                <w:sz w:val="21"/>
                <w:szCs w:val="21"/>
              </w:rPr>
              <w:t>hs</w:t>
            </w:r>
            <w:proofErr w:type="spellEnd"/>
            <w:r>
              <w:rPr>
                <w:b/>
                <w:bCs/>
                <w:sz w:val="21"/>
                <w:szCs w:val="21"/>
              </w:rPr>
              <w:t>.-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E6534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Inicio de la veda electoral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D63AA" w14:textId="77777777" w:rsidR="00BD1BA7" w:rsidRDefault="00BD1BA7" w:rsidP="00367909">
            <w:pPr>
              <w:pStyle w:val="Contenidodelatabla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Desde 48 horas antes de la iniciación del acto electoral.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E560A0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Arts. 67 inc. a) y 118 L. 201</w:t>
            </w:r>
          </w:p>
        </w:tc>
      </w:tr>
      <w:tr w:rsidR="00BD1BA7" w14:paraId="12254E9A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3AFDB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07/11/25- de 08:00 a 18:00 </w:t>
            </w:r>
            <w:proofErr w:type="spellStart"/>
            <w:r>
              <w:rPr>
                <w:b/>
                <w:bCs/>
                <w:sz w:val="21"/>
                <w:szCs w:val="21"/>
              </w:rPr>
              <w:t>hs</w:t>
            </w:r>
            <w:proofErr w:type="spellEnd"/>
            <w:r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AE5434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ACTO ELECTORAL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11B18" w14:textId="77777777" w:rsidR="00BD1BA7" w:rsidRDefault="00BD1BA7" w:rsidP="00367909">
            <w:pPr>
              <w:pStyle w:val="Contenidodelatabla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D93724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 xml:space="preserve">Arts. 202 C.P. y 43º L.201. Dto. </w:t>
            </w:r>
            <w:proofErr w:type="spellStart"/>
            <w:r>
              <w:rPr>
                <w:color w:val="000000"/>
                <w:sz w:val="22"/>
                <w:szCs w:val="22"/>
              </w:rPr>
              <w:t>Nº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450</w:t>
            </w:r>
          </w:p>
        </w:tc>
      </w:tr>
      <w:tr w:rsidR="00BD1BA7" w14:paraId="06610DBC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51A6D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09/11/25</w:t>
            </w:r>
          </w:p>
          <w:p w14:paraId="42138F14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18 </w:t>
            </w:r>
            <w:proofErr w:type="spellStart"/>
            <w:r>
              <w:rPr>
                <w:b/>
                <w:bCs/>
                <w:sz w:val="21"/>
                <w:szCs w:val="21"/>
              </w:rPr>
              <w:t>hs</w:t>
            </w:r>
            <w:proofErr w:type="spellEnd"/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64D70C" w14:textId="77777777" w:rsidR="00BD1BA7" w:rsidRDefault="00BD1BA7" w:rsidP="00367909">
            <w:pPr>
              <w:pStyle w:val="Contenidodelatabl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Cierre del plazo para presentar reclamos y protestas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AA699" w14:textId="77777777" w:rsidR="00BD1BA7" w:rsidRDefault="00BD1BA7" w:rsidP="00367909">
            <w:pPr>
              <w:pStyle w:val="Contenidodelatabla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 horas siguientes a la finalización del acto electoral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F6211D" w14:textId="77777777" w:rsidR="00BD1BA7" w:rsidRDefault="00BD1BA7" w:rsidP="00367909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Arts. 103 y 105 L.201</w:t>
            </w:r>
          </w:p>
        </w:tc>
      </w:tr>
      <w:tr w:rsidR="00BD1BA7" w14:paraId="3C03F7E3" w14:textId="77777777" w:rsidTr="0036790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8A19D" w14:textId="77777777" w:rsidR="00BD1BA7" w:rsidRDefault="00BD1BA7" w:rsidP="00367909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10/11/25</w:t>
            </w:r>
          </w:p>
        </w:tc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3CE657" w14:textId="77777777" w:rsidR="00BD1BA7" w:rsidRDefault="00BD1BA7" w:rsidP="00367909">
            <w:pPr>
              <w:pStyle w:val="Contenidodelatabl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Inicio del escrutinio definitivo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D7D6F" w14:textId="77777777" w:rsidR="00BD1BA7" w:rsidRDefault="00BD1BA7" w:rsidP="00367909">
            <w:pPr>
              <w:pStyle w:val="Contenidodelatabla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A1DF64" w14:textId="77777777" w:rsidR="00BD1BA7" w:rsidRDefault="00BD1BA7" w:rsidP="00367909">
            <w:pPr>
              <w:pStyle w:val="Contenidodelatabla"/>
              <w:jc w:val="center"/>
              <w:rPr>
                <w:color w:val="000000"/>
                <w:sz w:val="21"/>
                <w:szCs w:val="21"/>
                <w:shd w:val="clear" w:color="auto" w:fill="FFFF00"/>
              </w:rPr>
            </w:pPr>
          </w:p>
        </w:tc>
      </w:tr>
    </w:tbl>
    <w:p w14:paraId="7F49A357" w14:textId="77777777" w:rsidR="00BD1BA7" w:rsidRDefault="00BD1BA7" w:rsidP="00BD1BA7">
      <w:pPr>
        <w:sectPr w:rsidR="00BD1BA7" w:rsidSect="00BD1BA7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20160"/>
          <w:pgMar w:top="1133" w:right="850" w:bottom="1133" w:left="2268" w:header="567" w:footer="567" w:gutter="0"/>
          <w:cols w:space="720"/>
        </w:sectPr>
      </w:pPr>
    </w:p>
    <w:p w14:paraId="5B81A03E" w14:textId="77777777" w:rsidR="000F5F6C" w:rsidRDefault="000F5F6C"/>
    <w:sectPr w:rsidR="000F5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HrP24DlT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567F" w14:textId="77777777" w:rsidR="00000000" w:rsidRDefault="00000000">
    <w:pPr>
      <w:pStyle w:val="Piedepgina"/>
      <w:rPr>
        <w:rFonts w:ascii="C39HrP24DlTt" w:hAnsi="C39HrP24DlTt"/>
        <w:sz w:val="4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878B" w14:textId="77777777" w:rsidR="00000000" w:rsidRDefault="00000000">
    <w:pPr>
      <w:pStyle w:val="Piedepgina"/>
      <w:jc w:val="center"/>
    </w:pPr>
    <w:r>
      <w:rPr>
        <w:sz w:val="18"/>
      </w:rPr>
      <w:t>Las Islas Malvinas, Georgias del Sur, Sándwich del Sur y los espacios marítimos e insulares correspondientes son argentinos</w:t>
    </w:r>
    <w:r>
      <w:rPr>
        <w:sz w:val="18"/>
      </w:rPr>
      <w:br/>
    </w:r>
    <w:r>
      <w:rPr>
        <w:rFonts w:ascii="C39HrP24DlTt" w:hAnsi="C39HrP24DlTt"/>
        <w:sz w:val="46"/>
      </w:rPr>
      <w:t>*A00260000691233*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77C2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45AE" w14:textId="77777777" w:rsidR="00000000" w:rsidRDefault="00000000">
    <w:pPr>
      <w:pStyle w:val="Encabezamientoizquier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254C" w14:textId="77777777" w:rsidR="00000000" w:rsidRDefault="00000000">
    <w:pPr>
      <w:pStyle w:val="Encabezado"/>
    </w:pPr>
    <w:r>
      <w:rPr>
        <w:noProof/>
      </w:rPr>
      <w:drawing>
        <wp:anchor distT="0" distB="0" distL="0" distR="0" simplePos="0" relativeHeight="251659264" behindDoc="0" locked="0" layoutInCell="1" allowOverlap="1" wp14:anchorId="279F2FAE" wp14:editId="20F4F590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5744845" cy="1457325"/>
          <wp:effectExtent l="0" t="0" r="8255" b="9525"/>
          <wp:wrapTopAndBottom/>
          <wp:docPr id="18774309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845" cy="1457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6007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num w:numId="1" w16cid:durableId="1263689111">
    <w:abstractNumId w:val="0"/>
  </w:num>
  <w:num w:numId="2" w16cid:durableId="1025136712">
    <w:abstractNumId w:val="1"/>
  </w:num>
  <w:num w:numId="3" w16cid:durableId="197739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A7"/>
    <w:rsid w:val="000F5F6C"/>
    <w:rsid w:val="00BD1BA7"/>
    <w:rsid w:val="00D5177B"/>
    <w:rsid w:val="00EA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611A"/>
  <w15:chartTrackingRefBased/>
  <w15:docId w15:val="{8D5A3A31-666A-4F8B-BD8A-49E530AD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BA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es-ES" w:eastAsia="hi-I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B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B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B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B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B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B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B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B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B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B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1B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B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1B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B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BA7"/>
    <w:rPr>
      <w:b/>
      <w:bCs/>
      <w:smallCaps/>
      <w:color w:val="0F4761" w:themeColor="accent1" w:themeShade="BF"/>
      <w:spacing w:val="5"/>
    </w:rPr>
  </w:style>
  <w:style w:type="character" w:customStyle="1" w:styleId="Fuentedeprrafopredeter1">
    <w:name w:val="Fuente de párrafo predeter.1"/>
    <w:rsid w:val="00BD1BA7"/>
  </w:style>
  <w:style w:type="paragraph" w:styleId="Encabezado">
    <w:name w:val="header"/>
    <w:basedOn w:val="Normal"/>
    <w:link w:val="EncabezadoCar"/>
    <w:rsid w:val="00BD1BA7"/>
    <w:pPr>
      <w:suppressLineNumbers/>
      <w:tabs>
        <w:tab w:val="center" w:pos="5269"/>
        <w:tab w:val="right" w:pos="10539"/>
      </w:tabs>
    </w:pPr>
  </w:style>
  <w:style w:type="character" w:customStyle="1" w:styleId="EncabezadoCar">
    <w:name w:val="Encabezado Car"/>
    <w:basedOn w:val="Fuentedeprrafopredeter"/>
    <w:link w:val="Encabezado"/>
    <w:rsid w:val="00BD1BA7"/>
    <w:rPr>
      <w:rFonts w:ascii="Times New Roman" w:eastAsia="SimSun" w:hAnsi="Times New Roman" w:cs="Mangal"/>
      <w:kern w:val="1"/>
      <w:lang w:val="es-ES" w:eastAsia="hi-IN" w:bidi="hi-IN"/>
      <w14:ligatures w14:val="none"/>
    </w:rPr>
  </w:style>
  <w:style w:type="paragraph" w:styleId="Piedepgina">
    <w:name w:val="footer"/>
    <w:basedOn w:val="Normal"/>
    <w:link w:val="PiedepginaCar"/>
    <w:rsid w:val="00BD1BA7"/>
    <w:pPr>
      <w:suppressLineNumbers/>
      <w:tabs>
        <w:tab w:val="center" w:pos="5269"/>
        <w:tab w:val="right" w:pos="10539"/>
      </w:tabs>
    </w:pPr>
  </w:style>
  <w:style w:type="character" w:customStyle="1" w:styleId="PiedepginaCar">
    <w:name w:val="Pie de página Car"/>
    <w:basedOn w:val="Fuentedeprrafopredeter"/>
    <w:link w:val="Piedepgina"/>
    <w:rsid w:val="00BD1BA7"/>
    <w:rPr>
      <w:rFonts w:ascii="Times New Roman" w:eastAsia="SimSun" w:hAnsi="Times New Roman" w:cs="Mangal"/>
      <w:kern w:val="1"/>
      <w:lang w:val="es-ES" w:eastAsia="hi-IN" w:bidi="hi-IN"/>
      <w14:ligatures w14:val="none"/>
    </w:rPr>
  </w:style>
  <w:style w:type="paragraph" w:customStyle="1" w:styleId="Encabezamientoizquierdo">
    <w:name w:val="Encabezamiento izquierdo"/>
    <w:basedOn w:val="Normal"/>
    <w:rsid w:val="00BD1BA7"/>
    <w:pPr>
      <w:suppressLineNumbers/>
      <w:tabs>
        <w:tab w:val="center" w:pos="5269"/>
        <w:tab w:val="right" w:pos="10539"/>
      </w:tabs>
    </w:pPr>
  </w:style>
  <w:style w:type="paragraph" w:customStyle="1" w:styleId="Normal1">
    <w:name w:val="Normal1"/>
    <w:rsid w:val="00BD1BA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es-ES" w:eastAsia="hi-IN" w:bidi="hi-IN"/>
      <w14:ligatures w14:val="none"/>
    </w:rPr>
  </w:style>
  <w:style w:type="paragraph" w:customStyle="1" w:styleId="Contenidodelatabla">
    <w:name w:val="Contenido de la tabla"/>
    <w:basedOn w:val="Normal"/>
    <w:rsid w:val="00BD1BA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Samanta</dc:creator>
  <cp:keywords/>
  <dc:description/>
  <cp:lastModifiedBy>IGLESIAS Samanta</cp:lastModifiedBy>
  <cp:revision>1</cp:revision>
  <dcterms:created xsi:type="dcterms:W3CDTF">2025-06-11T11:27:00Z</dcterms:created>
  <dcterms:modified xsi:type="dcterms:W3CDTF">2025-06-11T11:29:00Z</dcterms:modified>
</cp:coreProperties>
</file>